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43CF"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619F46E5"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366FB235"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76146E1F"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08D1976C"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6BAABCF5"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10200216"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36FCBBDE"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18BFFE21" w14:textId="77777777" w:rsidR="00084D90" w:rsidRPr="00084D90" w:rsidRDefault="00084D90" w:rsidP="00084D90">
      <w:pPr>
        <w:spacing w:before="100" w:beforeAutospacing="1" w:after="100" w:afterAutospacing="1"/>
        <w:jc w:val="center"/>
        <w:outlineLvl w:val="2"/>
        <w:rPr>
          <w:rFonts w:eastAsia="Times New Roman" w:cs="Times New Roman"/>
          <w:b/>
          <w:bCs/>
          <w:kern w:val="0"/>
          <w:sz w:val="26"/>
          <w:szCs w:val="26"/>
          <w:lang w:val="en-US" w:eastAsia="uk-UA"/>
          <w14:ligatures w14:val="none"/>
        </w:rPr>
      </w:pPr>
    </w:p>
    <w:p w14:paraId="18850099" w14:textId="77777777" w:rsidR="00084D90" w:rsidRPr="00084D90" w:rsidRDefault="00084D90" w:rsidP="00084D90">
      <w:pPr>
        <w:spacing w:before="100" w:beforeAutospacing="1" w:after="100" w:afterAutospacing="1"/>
        <w:jc w:val="center"/>
        <w:outlineLvl w:val="2"/>
        <w:rPr>
          <w:rFonts w:eastAsia="Times New Roman" w:cs="Times New Roman"/>
          <w:b/>
          <w:bCs/>
          <w:kern w:val="0"/>
          <w:szCs w:val="28"/>
          <w:lang w:val="en-US" w:eastAsia="uk-UA"/>
          <w14:ligatures w14:val="none"/>
        </w:rPr>
      </w:pPr>
      <w:r w:rsidRPr="00084D90">
        <w:rPr>
          <w:rFonts w:eastAsia="Times New Roman" w:cs="Times New Roman"/>
          <w:b/>
          <w:bCs/>
          <w:kern w:val="0"/>
          <w:szCs w:val="28"/>
          <w:lang w:val="en-US" w:eastAsia="uk-UA"/>
          <w14:ligatures w14:val="none"/>
        </w:rPr>
        <w:t>Приватне акцiонерне товариство " Краматорський завод Теплоприлад"</w:t>
      </w:r>
    </w:p>
    <w:p w14:paraId="4174A16F" w14:textId="77777777" w:rsidR="00084D90" w:rsidRPr="00084D90" w:rsidRDefault="00084D90" w:rsidP="00084D90">
      <w:pPr>
        <w:spacing w:before="100" w:beforeAutospacing="1" w:after="100" w:afterAutospacing="1"/>
        <w:jc w:val="center"/>
        <w:outlineLvl w:val="2"/>
        <w:rPr>
          <w:rFonts w:eastAsia="Times New Roman" w:cs="Times New Roman"/>
          <w:b/>
          <w:bCs/>
          <w:kern w:val="0"/>
          <w:szCs w:val="28"/>
          <w:lang w:val="en-US" w:eastAsia="uk-UA"/>
          <w14:ligatures w14:val="none"/>
        </w:rPr>
      </w:pPr>
    </w:p>
    <w:p w14:paraId="3261ED7A" w14:textId="77777777" w:rsidR="00084D90" w:rsidRPr="00084D90" w:rsidRDefault="00084D90" w:rsidP="00084D90">
      <w:pPr>
        <w:spacing w:before="100" w:beforeAutospacing="1" w:after="100" w:afterAutospacing="1"/>
        <w:jc w:val="center"/>
        <w:outlineLvl w:val="2"/>
        <w:rPr>
          <w:rFonts w:eastAsia="Times New Roman" w:cs="Times New Roman"/>
          <w:b/>
          <w:bCs/>
          <w:kern w:val="0"/>
          <w:szCs w:val="28"/>
          <w:lang w:val="en-US" w:eastAsia="uk-UA"/>
          <w14:ligatures w14:val="none"/>
        </w:rPr>
      </w:pPr>
    </w:p>
    <w:p w14:paraId="71E0261A" w14:textId="77777777" w:rsidR="00084D90" w:rsidRPr="00084D90" w:rsidRDefault="00084D90" w:rsidP="00084D90">
      <w:pPr>
        <w:spacing w:after="0"/>
        <w:jc w:val="center"/>
        <w:rPr>
          <w:rFonts w:eastAsia="Times New Roman" w:cs="Times New Roman"/>
          <w:b/>
          <w:kern w:val="0"/>
          <w:szCs w:val="28"/>
          <w:lang w:val="uk-UA" w:eastAsia="uk-UA"/>
          <w14:ligatures w14:val="none"/>
        </w:rPr>
      </w:pPr>
      <w:r w:rsidRPr="00084D90">
        <w:rPr>
          <w:rFonts w:eastAsia="Times New Roman" w:cs="Times New Roman"/>
          <w:b/>
          <w:kern w:val="0"/>
          <w:szCs w:val="28"/>
          <w:lang w:val="uk-UA" w:eastAsia="uk-UA"/>
          <w14:ligatures w14:val="none"/>
        </w:rPr>
        <w:t>Звіт керівництва ( звіт про управління )</w:t>
      </w:r>
    </w:p>
    <w:p w14:paraId="3F22A9E8" w14:textId="77777777" w:rsidR="00084D90" w:rsidRPr="00084D90" w:rsidRDefault="00084D90" w:rsidP="00084D90">
      <w:pPr>
        <w:spacing w:after="0"/>
        <w:jc w:val="center"/>
        <w:rPr>
          <w:rFonts w:eastAsia="Times New Roman" w:cs="Times New Roman"/>
          <w:b/>
          <w:kern w:val="0"/>
          <w:szCs w:val="28"/>
          <w:lang w:val="uk-UA" w:eastAsia="uk-UA"/>
          <w14:ligatures w14:val="none"/>
        </w:rPr>
      </w:pPr>
    </w:p>
    <w:p w14:paraId="2FDD09DD" w14:textId="77777777" w:rsidR="00084D90" w:rsidRPr="00084D90" w:rsidRDefault="00084D90" w:rsidP="00084D90">
      <w:pPr>
        <w:spacing w:after="0"/>
        <w:jc w:val="center"/>
        <w:rPr>
          <w:rFonts w:eastAsia="Times New Roman" w:cs="Times New Roman"/>
          <w:b/>
          <w:kern w:val="0"/>
          <w:szCs w:val="28"/>
          <w:lang w:val="en-US" w:eastAsia="uk-UA"/>
          <w14:ligatures w14:val="none"/>
        </w:rPr>
        <w:sectPr w:rsidR="00084D90" w:rsidRPr="00084D90" w:rsidSect="00084D90">
          <w:pgSz w:w="11906" w:h="16838"/>
          <w:pgMar w:top="851" w:right="567" w:bottom="851" w:left="1418" w:header="709" w:footer="709" w:gutter="0"/>
          <w:cols w:space="708"/>
          <w:docGrid w:linePitch="360"/>
        </w:sectPr>
      </w:pPr>
      <w:r w:rsidRPr="00084D90">
        <w:rPr>
          <w:rFonts w:eastAsia="Times New Roman" w:cs="Times New Roman"/>
          <w:b/>
          <w:kern w:val="0"/>
          <w:szCs w:val="28"/>
          <w:lang w:val="uk-UA" w:eastAsia="uk-UA"/>
          <w14:ligatures w14:val="none"/>
        </w:rPr>
        <w:t xml:space="preserve">станом на </w:t>
      </w:r>
      <w:r w:rsidRPr="00084D90">
        <w:rPr>
          <w:rFonts w:eastAsia="Times New Roman" w:cs="Times New Roman"/>
          <w:b/>
          <w:kern w:val="0"/>
          <w:szCs w:val="28"/>
          <w:lang w:val="en-US" w:eastAsia="uk-UA"/>
          <w14:ligatures w14:val="none"/>
        </w:rPr>
        <w:t>"31" грудня 2025 р.</w:t>
      </w:r>
    </w:p>
    <w:p w14:paraId="4DD0424B" w14:textId="77777777" w:rsidR="00084D90" w:rsidRPr="00084D90" w:rsidRDefault="00084D90" w:rsidP="00084D90">
      <w:pPr>
        <w:spacing w:after="0"/>
        <w:jc w:val="center"/>
        <w:rPr>
          <w:rFonts w:eastAsia="Times New Roman" w:cs="Times New Roman"/>
          <w:kern w:val="0"/>
          <w:szCs w:val="28"/>
          <w:lang w:val="en-US" w:eastAsia="uk-UA"/>
          <w14:ligatures w14:val="none"/>
        </w:rPr>
      </w:pPr>
    </w:p>
    <w:p w14:paraId="691BA3CB" w14:textId="77777777" w:rsidR="00084D90" w:rsidRPr="00084D90" w:rsidRDefault="00084D90" w:rsidP="00084D90">
      <w:pPr>
        <w:widowControl w:val="0"/>
        <w:tabs>
          <w:tab w:val="right" w:pos="7710"/>
          <w:tab w:val="right" w:pos="11514"/>
        </w:tabs>
        <w:suppressAutoHyphens/>
        <w:autoSpaceDE w:val="0"/>
        <w:autoSpaceDN w:val="0"/>
        <w:adjustRightInd w:val="0"/>
        <w:spacing w:after="0" w:line="257" w:lineRule="auto"/>
        <w:textAlignment w:val="center"/>
        <w:rPr>
          <w:rFonts w:eastAsia="Times New Roman" w:cs="Times New Roman"/>
          <w:color w:val="000000"/>
          <w:kern w:val="0"/>
          <w:sz w:val="22"/>
          <w:lang w:val="uk-UA" w:eastAsia="uk-UA"/>
          <w14:ligatures w14:val="none"/>
        </w:rPr>
      </w:pPr>
      <w:r w:rsidRPr="00084D90">
        <w:rPr>
          <w:rFonts w:eastAsia="Times New Roman" w:cs="Times New Roman"/>
          <w:b/>
          <w:color w:val="000000"/>
          <w:kern w:val="0"/>
          <w:sz w:val="22"/>
          <w:lang w:val="uk-UA" w:eastAsia="uk-UA"/>
          <w14:ligatures w14:val="none"/>
        </w:rPr>
        <w:t>1) Звернення до акціонерів/учасників та інших стейкхолдерів від голови ради особи</w:t>
      </w:r>
    </w:p>
    <w:p w14:paraId="64679E27" w14:textId="77777777" w:rsidR="00084D90" w:rsidRPr="00084D90" w:rsidRDefault="00084D90" w:rsidP="00084D90">
      <w:pPr>
        <w:spacing w:after="0"/>
        <w:rPr>
          <w:rFonts w:eastAsia="Times New Roman" w:cs="Times New Roman"/>
          <w:kern w:val="0"/>
          <w:sz w:val="20"/>
          <w:szCs w:val="20"/>
          <w:lang w:eastAsia="uk-UA"/>
          <w14:ligatures w14:val="none"/>
        </w:rPr>
      </w:pPr>
    </w:p>
    <w:p w14:paraId="762B1E39"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РЕЗУЛЬТАТИ ДІЯЛЬНОСТІ</w:t>
      </w:r>
    </w:p>
    <w:p w14:paraId="6F336BA9"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Основні види діяльності ПрАТ "Краматорський завод Теплоприлад":</w:t>
      </w:r>
    </w:p>
    <w:p w14:paraId="22B63572"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1.1. Проведення науково-дослідних та проектно-конструкторських робіт зі створення нового, на рівні кращих світових зразків, теплотехнічних енергозберігаючих технологій та обладнання (у тому числі газового та електричного).</w:t>
      </w:r>
    </w:p>
    <w:p w14:paraId="432D246A"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1.2. Проведення експертних оцінок підприємств за станом енергозберігаючого обладнання та використання енергоресурсів з розробкою конкретних рекомендацій та проектів щодо впровадження нових енергозберігаючих технологій та обладнання, спрямованих на скорочення споживання енергоресурсів.</w:t>
      </w:r>
    </w:p>
    <w:p w14:paraId="35DAD3B8"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1.3. Виробництво всього обладнання, що розробляється, його монтаж і налагодження у замовника.</w:t>
      </w:r>
    </w:p>
    <w:p w14:paraId="26F91230"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1.4. Розробка та реалізація проектів з переоснащення існуючих технологічних виробництв, що використовують значне споживання енергоресурсів, у т.ч. виробництва, пов'язані з нагрівальним та термічними процесами та обладнанням</w:t>
      </w:r>
    </w:p>
    <w:p w14:paraId="3C3B74D5"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4FFDEE76"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Назва показників</w:t>
      </w:r>
      <w:r w:rsidRPr="00084D90">
        <w:rPr>
          <w:rFonts w:eastAsia="Times New Roman" w:cs="Times New Roman"/>
          <w:kern w:val="0"/>
          <w:sz w:val="20"/>
          <w:szCs w:val="20"/>
          <w:lang w:val="en-US" w:eastAsia="uk-UA"/>
          <w14:ligatures w14:val="none"/>
        </w:rPr>
        <w:tab/>
        <w:t>Од.вим.</w:t>
      </w:r>
      <w:r w:rsidRPr="00084D90">
        <w:rPr>
          <w:rFonts w:eastAsia="Times New Roman" w:cs="Times New Roman"/>
          <w:kern w:val="0"/>
          <w:sz w:val="20"/>
          <w:szCs w:val="20"/>
          <w:lang w:val="en-US" w:eastAsia="uk-UA"/>
          <w14:ligatures w14:val="none"/>
        </w:rPr>
        <w:tab/>
        <w:t xml:space="preserve">                                               Звіт 2024р.</w:t>
      </w:r>
      <w:r w:rsidRPr="00084D90">
        <w:rPr>
          <w:rFonts w:eastAsia="Times New Roman" w:cs="Times New Roman"/>
          <w:kern w:val="0"/>
          <w:sz w:val="20"/>
          <w:szCs w:val="20"/>
          <w:lang w:val="en-US" w:eastAsia="uk-UA"/>
          <w14:ligatures w14:val="none"/>
        </w:rPr>
        <w:tab/>
        <w:t>Звіт 2025 р.</w:t>
      </w:r>
      <w:r w:rsidRPr="00084D90">
        <w:rPr>
          <w:rFonts w:eastAsia="Times New Roman" w:cs="Times New Roman"/>
          <w:kern w:val="0"/>
          <w:sz w:val="20"/>
          <w:szCs w:val="20"/>
          <w:lang w:val="en-US" w:eastAsia="uk-UA"/>
          <w14:ligatures w14:val="none"/>
        </w:rPr>
        <w:tab/>
        <w:t>2025р. у % до 2024р.</w:t>
      </w:r>
    </w:p>
    <w:p w14:paraId="5BB211F6"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Обсяг товарної продукції</w:t>
      </w:r>
      <w:r w:rsidRPr="00084D90">
        <w:rPr>
          <w:rFonts w:eastAsia="Times New Roman" w:cs="Times New Roman"/>
          <w:kern w:val="0"/>
          <w:sz w:val="20"/>
          <w:szCs w:val="20"/>
          <w:lang w:val="en-US" w:eastAsia="uk-UA"/>
          <w14:ligatures w14:val="none"/>
        </w:rPr>
        <w:tab/>
        <w:t>тис.грн.</w:t>
      </w:r>
      <w:r w:rsidRPr="00084D90">
        <w:rPr>
          <w:rFonts w:eastAsia="Times New Roman" w:cs="Times New Roman"/>
          <w:kern w:val="0"/>
          <w:sz w:val="20"/>
          <w:szCs w:val="20"/>
          <w:lang w:val="en-US" w:eastAsia="uk-UA"/>
          <w14:ligatures w14:val="none"/>
        </w:rPr>
        <w:tab/>
        <w:t xml:space="preserve">                                  26264,9</w:t>
      </w:r>
      <w:r w:rsidRPr="00084D90">
        <w:rPr>
          <w:rFonts w:eastAsia="Times New Roman" w:cs="Times New Roman"/>
          <w:kern w:val="0"/>
          <w:sz w:val="20"/>
          <w:szCs w:val="20"/>
          <w:lang w:val="en-US" w:eastAsia="uk-UA"/>
          <w14:ligatures w14:val="none"/>
        </w:rPr>
        <w:tab/>
        <w:t xml:space="preserve">       45688,8</w:t>
      </w:r>
      <w:r w:rsidRPr="00084D90">
        <w:rPr>
          <w:rFonts w:eastAsia="Times New Roman" w:cs="Times New Roman"/>
          <w:kern w:val="0"/>
          <w:sz w:val="20"/>
          <w:szCs w:val="20"/>
          <w:lang w:val="en-US" w:eastAsia="uk-UA"/>
          <w14:ligatures w14:val="none"/>
        </w:rPr>
        <w:tab/>
        <w:t xml:space="preserve">      173,95</w:t>
      </w:r>
    </w:p>
    <w:p w14:paraId="5967F630"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Обсяг реалізованої продукції</w:t>
      </w:r>
      <w:r w:rsidRPr="00084D90">
        <w:rPr>
          <w:rFonts w:eastAsia="Times New Roman" w:cs="Times New Roman"/>
          <w:kern w:val="0"/>
          <w:sz w:val="20"/>
          <w:szCs w:val="20"/>
          <w:lang w:val="en-US" w:eastAsia="uk-UA"/>
          <w14:ligatures w14:val="none"/>
        </w:rPr>
        <w:tab/>
        <w:t>тис.грн.</w:t>
      </w:r>
      <w:r w:rsidRPr="00084D90">
        <w:rPr>
          <w:rFonts w:eastAsia="Times New Roman" w:cs="Times New Roman"/>
          <w:kern w:val="0"/>
          <w:sz w:val="20"/>
          <w:szCs w:val="20"/>
          <w:lang w:val="en-US" w:eastAsia="uk-UA"/>
          <w14:ligatures w14:val="none"/>
        </w:rPr>
        <w:tab/>
        <w:t xml:space="preserve">                            26264,9      </w:t>
      </w:r>
      <w:r w:rsidRPr="00084D90">
        <w:rPr>
          <w:rFonts w:eastAsia="Times New Roman" w:cs="Times New Roman"/>
          <w:kern w:val="0"/>
          <w:sz w:val="20"/>
          <w:szCs w:val="20"/>
          <w:lang w:val="en-US" w:eastAsia="uk-UA"/>
          <w14:ligatures w14:val="none"/>
        </w:rPr>
        <w:tab/>
        <w:t>45688,8</w:t>
      </w:r>
      <w:r w:rsidRPr="00084D90">
        <w:rPr>
          <w:rFonts w:eastAsia="Times New Roman" w:cs="Times New Roman"/>
          <w:kern w:val="0"/>
          <w:sz w:val="20"/>
          <w:szCs w:val="20"/>
          <w:lang w:val="en-US" w:eastAsia="uk-UA"/>
          <w14:ligatures w14:val="none"/>
        </w:rPr>
        <w:tab/>
        <w:t xml:space="preserve">      173,95</w:t>
      </w:r>
    </w:p>
    <w:p w14:paraId="045C77E4"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Середньооблікова чисельність штатних</w:t>
      </w:r>
    </w:p>
    <w:p w14:paraId="6A70213E"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працівників усього осіб</w:t>
      </w:r>
      <w:r w:rsidRPr="00084D90">
        <w:rPr>
          <w:rFonts w:eastAsia="Times New Roman" w:cs="Times New Roman"/>
          <w:kern w:val="0"/>
          <w:sz w:val="20"/>
          <w:szCs w:val="20"/>
          <w:lang w:val="en-US" w:eastAsia="uk-UA"/>
          <w14:ligatures w14:val="none"/>
        </w:rPr>
        <w:tab/>
        <w:t>осіб</w:t>
      </w:r>
      <w:r w:rsidRPr="00084D90">
        <w:rPr>
          <w:rFonts w:eastAsia="Times New Roman" w:cs="Times New Roman"/>
          <w:kern w:val="0"/>
          <w:sz w:val="20"/>
          <w:szCs w:val="20"/>
          <w:lang w:val="en-US" w:eastAsia="uk-UA"/>
          <w14:ligatures w14:val="none"/>
        </w:rPr>
        <w:tab/>
        <w:t xml:space="preserve">                                                29</w:t>
      </w:r>
      <w:r w:rsidRPr="00084D90">
        <w:rPr>
          <w:rFonts w:eastAsia="Times New Roman" w:cs="Times New Roman"/>
          <w:kern w:val="0"/>
          <w:sz w:val="20"/>
          <w:szCs w:val="20"/>
          <w:lang w:val="en-US" w:eastAsia="uk-UA"/>
          <w14:ligatures w14:val="none"/>
        </w:rPr>
        <w:tab/>
        <w:t xml:space="preserve">                     40</w:t>
      </w:r>
      <w:r w:rsidRPr="00084D90">
        <w:rPr>
          <w:rFonts w:eastAsia="Times New Roman" w:cs="Times New Roman"/>
          <w:kern w:val="0"/>
          <w:sz w:val="20"/>
          <w:szCs w:val="20"/>
          <w:lang w:val="en-US" w:eastAsia="uk-UA"/>
          <w14:ligatures w14:val="none"/>
        </w:rPr>
        <w:tab/>
        <w:t xml:space="preserve">                      138</w:t>
      </w:r>
    </w:p>
    <w:p w14:paraId="6AB8494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Середньомісячна  заробітна плата 1-го </w:t>
      </w:r>
    </w:p>
    <w:p w14:paraId="3AE0D987"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працюючого</w:t>
      </w:r>
      <w:r w:rsidRPr="00084D90">
        <w:rPr>
          <w:rFonts w:eastAsia="Times New Roman" w:cs="Times New Roman"/>
          <w:kern w:val="0"/>
          <w:sz w:val="20"/>
          <w:szCs w:val="20"/>
          <w:lang w:val="en-US" w:eastAsia="uk-UA"/>
          <w14:ligatures w14:val="none"/>
        </w:rPr>
        <w:tab/>
        <w:t>тис.грн.</w:t>
      </w:r>
      <w:r w:rsidRPr="00084D90">
        <w:rPr>
          <w:rFonts w:eastAsia="Times New Roman" w:cs="Times New Roman"/>
          <w:kern w:val="0"/>
          <w:sz w:val="20"/>
          <w:szCs w:val="20"/>
          <w:lang w:val="en-US" w:eastAsia="uk-UA"/>
          <w14:ligatures w14:val="none"/>
        </w:rPr>
        <w:tab/>
        <w:t>грн.</w:t>
      </w:r>
      <w:r w:rsidRPr="00084D90">
        <w:rPr>
          <w:rFonts w:eastAsia="Times New Roman" w:cs="Times New Roman"/>
          <w:kern w:val="0"/>
          <w:sz w:val="20"/>
          <w:szCs w:val="20"/>
          <w:lang w:val="en-US" w:eastAsia="uk-UA"/>
          <w14:ligatures w14:val="none"/>
        </w:rPr>
        <w:tab/>
        <w:t xml:space="preserve">                                                41,1</w:t>
      </w:r>
      <w:r w:rsidRPr="00084D90">
        <w:rPr>
          <w:rFonts w:eastAsia="Times New Roman" w:cs="Times New Roman"/>
          <w:kern w:val="0"/>
          <w:sz w:val="20"/>
          <w:szCs w:val="20"/>
          <w:lang w:val="en-US" w:eastAsia="uk-UA"/>
          <w14:ligatures w14:val="none"/>
        </w:rPr>
        <w:tab/>
        <w:t xml:space="preserve">               43,5             </w:t>
      </w:r>
      <w:r w:rsidRPr="00084D90">
        <w:rPr>
          <w:rFonts w:eastAsia="Times New Roman" w:cs="Times New Roman"/>
          <w:kern w:val="0"/>
          <w:sz w:val="20"/>
          <w:szCs w:val="20"/>
          <w:lang w:val="en-US" w:eastAsia="uk-UA"/>
          <w14:ligatures w14:val="none"/>
        </w:rPr>
        <w:tab/>
        <w:t>105,8</w:t>
      </w:r>
    </w:p>
    <w:p w14:paraId="5F05DF9E"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7F60867D"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Обсяг виробленої та  реалізованої товарної продукції ПрАТ "Краматорський завод  Теплоприлад" в</w:t>
      </w:r>
    </w:p>
    <w:p w14:paraId="35145E4D"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2025 році склав 45688,8тис.грн. (2024 рік - 26264,9тис.грн.), в тому числі по видах:</w:t>
      </w:r>
    </w:p>
    <w:p w14:paraId="6972713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25.53 Деталі токарно оброблені металеві для машин і механічних приладів</w:t>
      </w:r>
      <w:r w:rsidRPr="00084D90">
        <w:rPr>
          <w:rFonts w:eastAsia="Times New Roman" w:cs="Times New Roman"/>
          <w:kern w:val="0"/>
          <w:sz w:val="20"/>
          <w:szCs w:val="20"/>
          <w:lang w:val="en-US" w:eastAsia="uk-UA"/>
          <w14:ligatures w14:val="none"/>
        </w:rPr>
        <w:tab/>
        <w:t>235,0</w:t>
      </w:r>
    </w:p>
    <w:p w14:paraId="666EECA7"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25.99 Вироби з металів чорних, н.в.і.у.</w:t>
      </w:r>
      <w:r w:rsidRPr="00084D90">
        <w:rPr>
          <w:rFonts w:eastAsia="Times New Roman" w:cs="Times New Roman"/>
          <w:kern w:val="0"/>
          <w:sz w:val="20"/>
          <w:szCs w:val="20"/>
          <w:lang w:val="en-US" w:eastAsia="uk-UA"/>
          <w14:ligatures w14:val="none"/>
        </w:rPr>
        <w:tab/>
        <w:t>852,8</w:t>
      </w:r>
    </w:p>
    <w:p w14:paraId="4879A50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28.21 Виробництво печей і пічних пальників</w:t>
      </w:r>
      <w:r w:rsidRPr="00084D90">
        <w:rPr>
          <w:rFonts w:eastAsia="Times New Roman" w:cs="Times New Roman"/>
          <w:kern w:val="0"/>
          <w:sz w:val="20"/>
          <w:szCs w:val="20"/>
          <w:lang w:val="en-US" w:eastAsia="uk-UA"/>
          <w14:ligatures w14:val="none"/>
        </w:rPr>
        <w:tab/>
        <w:t>3184,5</w:t>
      </w:r>
    </w:p>
    <w:p w14:paraId="7DBDAA27"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28.99 Виробництво інших машин і устатковання спеціального призначення, н.в.і.у.</w:t>
      </w:r>
      <w:r w:rsidRPr="00084D90">
        <w:rPr>
          <w:rFonts w:eastAsia="Times New Roman" w:cs="Times New Roman"/>
          <w:kern w:val="0"/>
          <w:sz w:val="20"/>
          <w:szCs w:val="20"/>
          <w:lang w:val="en-US" w:eastAsia="uk-UA"/>
          <w14:ligatures w14:val="none"/>
        </w:rPr>
        <w:tab/>
        <w:t>10923,3</w:t>
      </w:r>
    </w:p>
    <w:p w14:paraId="7035907A"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33.12 Ремонт і технічне обслуговування машин і устатковання промислового призначення</w:t>
      </w:r>
      <w:r w:rsidRPr="00084D90">
        <w:rPr>
          <w:rFonts w:eastAsia="Times New Roman" w:cs="Times New Roman"/>
          <w:kern w:val="0"/>
          <w:sz w:val="20"/>
          <w:szCs w:val="20"/>
          <w:lang w:val="en-US" w:eastAsia="uk-UA"/>
          <w14:ligatures w14:val="none"/>
        </w:rPr>
        <w:tab/>
        <w:t>5358,8</w:t>
      </w:r>
    </w:p>
    <w:p w14:paraId="51F49154"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33.20 Установлення та монтаж машин і устатковання</w:t>
      </w:r>
      <w:r w:rsidRPr="00084D90">
        <w:rPr>
          <w:rFonts w:eastAsia="Times New Roman" w:cs="Times New Roman"/>
          <w:kern w:val="0"/>
          <w:sz w:val="20"/>
          <w:szCs w:val="20"/>
          <w:lang w:val="en-US" w:eastAsia="uk-UA"/>
          <w14:ligatures w14:val="none"/>
        </w:rPr>
        <w:tab/>
        <w:t>22198,6</w:t>
      </w:r>
    </w:p>
    <w:p w14:paraId="2E782AD8"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74.90 Інша наукова професійна діяльність</w:t>
      </w:r>
      <w:r w:rsidRPr="00084D90">
        <w:rPr>
          <w:rFonts w:eastAsia="Times New Roman" w:cs="Times New Roman"/>
          <w:kern w:val="0"/>
          <w:sz w:val="20"/>
          <w:szCs w:val="20"/>
          <w:lang w:val="en-US" w:eastAsia="uk-UA"/>
          <w14:ligatures w14:val="none"/>
        </w:rPr>
        <w:tab/>
        <w:t>2922,8</w:t>
      </w:r>
    </w:p>
    <w:p w14:paraId="53106673"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68.2 Надання в оренду й експлуатацію власного чи орендованого нерухомого майна</w:t>
      </w:r>
      <w:r w:rsidRPr="00084D90">
        <w:rPr>
          <w:rFonts w:eastAsia="Times New Roman" w:cs="Times New Roman"/>
          <w:kern w:val="0"/>
          <w:sz w:val="20"/>
          <w:szCs w:val="20"/>
          <w:lang w:val="en-US" w:eastAsia="uk-UA"/>
          <w14:ligatures w14:val="none"/>
        </w:rPr>
        <w:tab/>
        <w:t>13,0</w:t>
      </w:r>
    </w:p>
    <w:p w14:paraId="37373CA5"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5D1E4AE0"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Середньомісячна заробітна плата одного штатного працівника за 2025 рік збільшилася  у порівнянні з минулим роком та склала грн. - 43,5 тис.грн. (у 2024 році - 41,1 тис.грн.). У наступному 2026 році заробітна плата на одного працівника підприємства поступово зростатиме.</w:t>
      </w:r>
    </w:p>
    <w:p w14:paraId="6E2B5168"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0EDF016A"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1C45F216"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426500C5" w14:textId="77777777" w:rsidR="00084D90" w:rsidRPr="00084D90" w:rsidRDefault="00084D90" w:rsidP="00084D90">
      <w:pPr>
        <w:spacing w:after="0"/>
        <w:rPr>
          <w:rFonts w:eastAsia="Times New Roman" w:cs="Times New Roman"/>
          <w:kern w:val="0"/>
          <w:sz w:val="20"/>
          <w:szCs w:val="20"/>
          <w:lang w:eastAsia="uk-UA"/>
          <w14:ligatures w14:val="none"/>
        </w:rPr>
      </w:pPr>
    </w:p>
    <w:p w14:paraId="37DB6A0C" w14:textId="77777777" w:rsidR="00084D90" w:rsidRPr="00084D90" w:rsidRDefault="00084D90" w:rsidP="00084D90">
      <w:pPr>
        <w:spacing w:after="0"/>
        <w:rPr>
          <w:rFonts w:eastAsia="Times New Roman" w:cs="Times New Roman"/>
          <w:b/>
          <w:kern w:val="0"/>
          <w:sz w:val="22"/>
          <w:lang w:val="uk-UA" w:eastAsia="uk-UA"/>
          <w14:ligatures w14:val="none"/>
        </w:rPr>
      </w:pPr>
      <w:r w:rsidRPr="00084D90">
        <w:rPr>
          <w:rFonts w:eastAsia="Times New Roman" w:cs="Times New Roman"/>
          <w:b/>
          <w:kern w:val="0"/>
          <w:sz w:val="22"/>
          <w:lang w:val="uk-UA" w:eastAsia="uk-UA"/>
          <w14:ligatures w14:val="none"/>
        </w:rPr>
        <w:t>2) Звернення до акціонерів/учасників та інших стейкхолдерів від керівника особи</w:t>
      </w:r>
    </w:p>
    <w:p w14:paraId="77801816" w14:textId="77777777" w:rsidR="00084D90" w:rsidRPr="00084D90" w:rsidRDefault="00084D90" w:rsidP="00084D90">
      <w:pPr>
        <w:spacing w:after="0"/>
        <w:rPr>
          <w:rFonts w:eastAsia="Times New Roman" w:cs="Times New Roman"/>
          <w:b/>
          <w:kern w:val="0"/>
          <w:sz w:val="22"/>
          <w:lang w:val="uk-UA" w:eastAsia="uk-UA"/>
          <w14:ligatures w14:val="none"/>
        </w:rPr>
      </w:pPr>
    </w:p>
    <w:p w14:paraId="0828FA02"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д/в</w:t>
      </w:r>
    </w:p>
    <w:p w14:paraId="270BD580" w14:textId="77777777" w:rsidR="00084D90" w:rsidRPr="00084D90" w:rsidRDefault="00084D90" w:rsidP="00084D90">
      <w:pPr>
        <w:spacing w:after="0"/>
        <w:rPr>
          <w:rFonts w:eastAsia="Times New Roman" w:cs="Times New Roman"/>
          <w:b/>
          <w:kern w:val="0"/>
          <w:sz w:val="22"/>
          <w:szCs w:val="24"/>
          <w:lang w:val="uk-UA" w:eastAsia="uk-UA"/>
          <w14:ligatures w14:val="none"/>
        </w:rPr>
      </w:pPr>
    </w:p>
    <w:p w14:paraId="0C0A60E0" w14:textId="77777777" w:rsidR="00084D90" w:rsidRPr="00084D90" w:rsidRDefault="00084D90" w:rsidP="00084D90">
      <w:pPr>
        <w:spacing w:after="0"/>
        <w:rPr>
          <w:rFonts w:eastAsia="Times New Roman" w:cs="Times New Roman"/>
          <w:b/>
          <w:kern w:val="0"/>
          <w:sz w:val="22"/>
          <w:szCs w:val="24"/>
          <w:lang w:val="uk-UA" w:eastAsia="uk-UA"/>
          <w14:ligatures w14:val="none"/>
        </w:rPr>
      </w:pPr>
      <w:r w:rsidRPr="00084D90">
        <w:rPr>
          <w:rFonts w:eastAsia="Times New Roman" w:cs="Times New Roman"/>
          <w:b/>
          <w:kern w:val="0"/>
          <w:sz w:val="22"/>
          <w:szCs w:val="24"/>
          <w:lang w:val="uk-UA" w:eastAsia="uk-UA"/>
          <w14:ligatures w14:val="none"/>
        </w:rPr>
        <w:t>3) Інформаці</w:t>
      </w:r>
      <w:r w:rsidRPr="00084D90">
        <w:rPr>
          <w:rFonts w:eastAsia="Times New Roman" w:cs="Times New Roman"/>
          <w:b/>
          <w:kern w:val="0"/>
          <w:sz w:val="22"/>
          <w:szCs w:val="24"/>
          <w:lang w:eastAsia="uk-UA"/>
          <w14:ligatures w14:val="none"/>
        </w:rPr>
        <w:t>я</w:t>
      </w:r>
      <w:r w:rsidRPr="00084D90">
        <w:rPr>
          <w:rFonts w:eastAsia="Times New Roman" w:cs="Times New Roman"/>
          <w:b/>
          <w:kern w:val="0"/>
          <w:sz w:val="22"/>
          <w:szCs w:val="24"/>
          <w:lang w:val="uk-UA" w:eastAsia="uk-UA"/>
          <w14:ligatures w14:val="none"/>
        </w:rPr>
        <w:t xml:space="preserve"> про розвиток та вірогідні перспективи подальшого розвитку особи</w:t>
      </w:r>
    </w:p>
    <w:p w14:paraId="05332EE5" w14:textId="77777777" w:rsidR="00084D90" w:rsidRPr="00084D90" w:rsidRDefault="00084D90" w:rsidP="00084D90">
      <w:pPr>
        <w:spacing w:after="0"/>
        <w:rPr>
          <w:rFonts w:eastAsia="Times New Roman" w:cs="Times New Roman"/>
          <w:b/>
          <w:kern w:val="0"/>
          <w:sz w:val="22"/>
          <w:szCs w:val="24"/>
          <w:lang w:val="uk-UA" w:eastAsia="uk-UA"/>
          <w14:ligatures w14:val="none"/>
        </w:rPr>
      </w:pPr>
    </w:p>
    <w:p w14:paraId="179ABF8A"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ПЕРСПЕКТИВИ РОЗВИТКУ</w:t>
      </w:r>
    </w:p>
    <w:p w14:paraId="26B2DB63"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w:t>
      </w:r>
    </w:p>
    <w:p w14:paraId="36973F08"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Основне призначення пластинчастих секційних теплообмінників нагрів повітря для потреб газових пальників які використовуються у промисловості . Крім того розробка нових спеціальних високоякісних технологічних процесів і обладнання із застосуванням пластинчастих секційних теплообмінників, дозволяють значно зекономити енергоресурси(природний газ) і знижувати в цілому експлуатаційні витрати у виробництві.</w:t>
      </w:r>
    </w:p>
    <w:p w14:paraId="6359D61E"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На початковому етапі, що охоплює період реалізації цього інвестиційного проекту, загальну стратегію керівництво підприємства уявляє собі як налагодження стабільного випуску нового виду продукції, організація стабільного та прогнозованого збуту товарів, стабільне отримання прибутку та домінування на регіональному ринку в питаннях виробництва та реалізації на основі конкурентного існування .</w:t>
      </w:r>
    </w:p>
    <w:p w14:paraId="0878304B"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Підставою правильності обраного стратегічного курсу Підприємством та, зокрема, у період складання передбачуваного до розгляду проекту є таке:</w:t>
      </w:r>
    </w:p>
    <w:p w14:paraId="05E1563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виріб-представник пройшов етап технічної апробації та довів дійсну економію природного газу на виробничих підприємствах;</w:t>
      </w:r>
    </w:p>
    <w:p w14:paraId="30B5FCF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ринок відчуває необмежену потребу в енергозберігаючих технологіях та устаткуванні до яких належать пластинчаті секційні теплообмінники.</w:t>
      </w:r>
    </w:p>
    <w:p w14:paraId="50B72A6F"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lastRenderedPageBreak/>
        <w:t xml:space="preserve">       Згідно з виробничими планами, фінансовими прогнозами, враховуючи наявністю стан виробничого обладнання та лімітуючи економічні фактори, що склалося на сьогоднішній день зовнішнє середовище, здійснення передбачуваного проекту можна розбити на наступні етапи розвитку підприємства:</w:t>
      </w:r>
    </w:p>
    <w:p w14:paraId="1DE3CAD4"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1 - введення в дію всього виробничого комплексу; забезпечення на потужностях підприємства повного виробничого циклу.</w:t>
      </w:r>
    </w:p>
    <w:p w14:paraId="46E8ED13"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2 - налагодження стабільного виробництва та збуту  готової продукції.</w:t>
      </w:r>
    </w:p>
    <w:p w14:paraId="70DBC55F"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3 - подальше розширення виробничих потужностей.</w:t>
      </w:r>
    </w:p>
    <w:p w14:paraId="3A2FB4B0"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Це дозволить розширити інтеграцію по вертикалі, знизити собівартість виробів, що випускаються, і підвищити економічний ефект від господарської діяльності підприємства.</w:t>
      </w:r>
    </w:p>
    <w:p w14:paraId="5333A26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За інноваційної діяльності буде збільшено обсяг  та різновид виготовляємої продукції за рахунок використання сучасного обладнання з ЧПУ та вихід на новий рівень виробництва. Підприємство зможе освоїти виробництво більш сучасних промислових газових пальників, а також супутніх видів обладнання.</w:t>
      </w:r>
    </w:p>
    <w:p w14:paraId="7EEAE4F1"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У 2024 році підприємство отримало грантові кошти на придбання нового обладнання на загальну суму 8 000,0тис.грн.</w:t>
      </w:r>
    </w:p>
    <w:p w14:paraId="145DFE58"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Результатом грантової діяльності підприємство освоїть нові технології виробництва газових пальників та печей за рахунок придбання сучасного обладнання, пластинчатих теплообмінників,  яке дозволить значно зменшити залежність від сторонніх підприємств та закупівлі вже готових комплектуючих.  </w:t>
      </w:r>
    </w:p>
    <w:p w14:paraId="74F33521"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В результаті грантової діяльності значно зменшиться залежність підприємства від інших сторонніх підприємств, зменшиться час виготовлення деталей, скоротяться витрати на транспортування деталей з інших підприємств, за рахунок використання автоматизованого обладнання ( верстат лазерної різки ЧПУ).</w:t>
      </w:r>
    </w:p>
    <w:p w14:paraId="314A37EA"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 .</w:t>
      </w:r>
    </w:p>
    <w:p w14:paraId="074FC87B"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Економічна вигода отримання гранту складається в тому, що за рахунок отримання гранту зможемо купити необхідне виробниче обладнання , яке дасть змогу зможемо купити необхідне виробниче обладнання , яке дасть змогу збільшити потужність. Перевага гранту у безвідсотковому поверненні в порівняні з кредитом. А також для закупівлі обладнання не будуть витягатись кошти з оборотного капіталу (частково 2 млн грн). </w:t>
      </w:r>
    </w:p>
    <w:p w14:paraId="1ACABA34"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Нове обладнання наддасть можливість збільшити продуктивність на 14 % збільшити кількість виробляємо продукції за рахунок збільшення об'ємів виробництва та продажу буде необхідність найняти додатковий персонал у кількості 25 шт. для обслуговування та подальшому росту підприємства. </w:t>
      </w:r>
    </w:p>
    <w:p w14:paraId="6E56141C"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Фактична кількість працівників з плановою з/п і планова кількість працівників з плановою з/п (всього з врахуванням витрат на податки)  після реалізації проекту (окремо вказувати "чисту" з/п і  розмір податків із з/п працівників) плануємо найняти нових 29 співробітників із середньо ринковою ЗП </w:t>
      </w:r>
    </w:p>
    <w:p w14:paraId="774E715A"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В результаті грантової діяльності значно зменшиться залежність підприємства від інших сторін транспортування деталей з інших підприємств, за рахунок використання автоматизованого обладнання ( верстат лазерної різки ЧПУ).</w:t>
      </w:r>
    </w:p>
    <w:p w14:paraId="175F7B37"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w:t>
      </w:r>
    </w:p>
    <w:p w14:paraId="4506A7A6"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ab/>
        <w:t>Основне призначення пластинчастих секційних теплообмінників нагрів повітря для потреб газових пальників які використовуються у промисловості . Крім того розробка нових спеціальних високоякісних технологічних процесів і обладнання із застосуванням пластинчастих секційних теплообмінників, дозволяють значно зекономити енергоресурси(природний газ) і знижувати в цілому експлуатаційні витрати у виробництві.</w:t>
      </w:r>
    </w:p>
    <w:p w14:paraId="2B5A6DC3"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На початковому етапі, що охоплює період реалізації цього інвестиційного проекту, загальну стратегію керівництво підприємства уявляє собі як налагодження стабільного випуску нового виду продукції, організація стабільного та прогнозованого збуту товарів, стабільне отримання прибутку та домінування на регіональному ринку в питаннях виробництва та реалізації на основі конкурентного існування </w:t>
      </w:r>
    </w:p>
    <w:p w14:paraId="47319F3E" w14:textId="77777777" w:rsidR="00084D90" w:rsidRPr="00084D90" w:rsidRDefault="00084D90" w:rsidP="00084D90">
      <w:pPr>
        <w:spacing w:after="0"/>
        <w:rPr>
          <w:rFonts w:eastAsia="Times New Roman" w:cs="Times New Roman"/>
          <w:kern w:val="0"/>
          <w:sz w:val="20"/>
          <w:szCs w:val="20"/>
          <w:lang w:val="en-US" w:eastAsia="uk-UA"/>
          <w14:ligatures w14:val="none"/>
        </w:rPr>
      </w:pPr>
    </w:p>
    <w:p w14:paraId="55B6D95A" w14:textId="77777777" w:rsidR="00084D90" w:rsidRPr="00084D90" w:rsidRDefault="00084D90" w:rsidP="00084D90">
      <w:pPr>
        <w:spacing w:after="0"/>
        <w:rPr>
          <w:rFonts w:eastAsia="Times New Roman" w:cs="Times New Roman"/>
          <w:b/>
          <w:kern w:val="0"/>
          <w:sz w:val="22"/>
          <w:szCs w:val="24"/>
          <w:lang w:val="uk-UA" w:eastAsia="uk-UA"/>
          <w14:ligatures w14:val="none"/>
        </w:rPr>
      </w:pPr>
    </w:p>
    <w:p w14:paraId="62BD24A4" w14:textId="77777777" w:rsidR="00084D90" w:rsidRPr="00084D90" w:rsidRDefault="00084D90" w:rsidP="00084D90">
      <w:pPr>
        <w:spacing w:after="0"/>
        <w:rPr>
          <w:rFonts w:eastAsia="Times New Roman" w:cs="Times New Roman"/>
          <w:b/>
          <w:kern w:val="0"/>
          <w:sz w:val="20"/>
          <w:szCs w:val="24"/>
          <w:lang w:val="uk-UA" w:eastAsia="uk-UA"/>
          <w14:ligatures w14:val="none"/>
        </w:rPr>
      </w:pPr>
      <w:r w:rsidRPr="00084D90">
        <w:rPr>
          <w:rFonts w:eastAsia="Times New Roman" w:cs="Times New Roman"/>
          <w:b/>
          <w:kern w:val="0"/>
          <w:sz w:val="22"/>
          <w:szCs w:val="24"/>
          <w:lang w:val="uk-UA"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D338458" w14:textId="77777777" w:rsidR="00084D90" w:rsidRPr="00084D90" w:rsidRDefault="00084D90" w:rsidP="00084D90">
      <w:pPr>
        <w:spacing w:after="0"/>
        <w:rPr>
          <w:rFonts w:eastAsia="Times New Roman" w:cs="Times New Roman"/>
          <w:b/>
          <w:kern w:val="0"/>
          <w:sz w:val="20"/>
          <w:lang w:val="uk-UA" w:eastAsia="uk-UA"/>
          <w14:ligatures w14:val="none"/>
        </w:rPr>
      </w:pPr>
    </w:p>
    <w:p w14:paraId="0C68D281" w14:textId="77777777" w:rsidR="00084D90" w:rsidRPr="00084D90" w:rsidRDefault="00084D90" w:rsidP="00084D90">
      <w:pPr>
        <w:spacing w:after="0"/>
        <w:rPr>
          <w:rFonts w:eastAsia="Times New Roman" w:cs="Times New Roman"/>
          <w:kern w:val="0"/>
          <w:sz w:val="20"/>
          <w:lang w:val="en-US" w:eastAsia="uk-UA"/>
          <w14:ligatures w14:val="none"/>
        </w:rPr>
      </w:pPr>
      <w:r w:rsidRPr="00084D90">
        <w:rPr>
          <w:rFonts w:eastAsia="Times New Roman" w:cs="Times New Roman"/>
          <w:kern w:val="0"/>
          <w:sz w:val="20"/>
          <w:lang w:val="en-US" w:eastAsia="uk-UA"/>
          <w14:ligatures w14:val="none"/>
        </w:rPr>
        <w:t>Ми не здiйснювали  укладення деривативiв та не вчиняли правочинiв щодо похiдних iнструментiв</w:t>
      </w:r>
    </w:p>
    <w:p w14:paraId="2C604A9F" w14:textId="77777777" w:rsidR="00084D90" w:rsidRPr="00084D90" w:rsidRDefault="00084D90" w:rsidP="00084D90">
      <w:pPr>
        <w:spacing w:after="0"/>
        <w:rPr>
          <w:rFonts w:eastAsia="Times New Roman" w:cs="Times New Roman"/>
          <w:b/>
          <w:kern w:val="0"/>
          <w:sz w:val="20"/>
          <w:lang w:val="uk-UA" w:eastAsia="uk-UA"/>
          <w14:ligatures w14:val="none"/>
        </w:rPr>
      </w:pPr>
    </w:p>
    <w:p w14:paraId="051B929A" w14:textId="77777777" w:rsidR="00084D90" w:rsidRPr="00084D90" w:rsidRDefault="00084D90" w:rsidP="00084D90">
      <w:pPr>
        <w:spacing w:after="0"/>
        <w:rPr>
          <w:rFonts w:eastAsia="Times New Roman" w:cs="Times New Roman"/>
          <w:b/>
          <w:kern w:val="0"/>
          <w:sz w:val="22"/>
          <w:szCs w:val="24"/>
          <w:lang w:val="uk-UA" w:eastAsia="uk-UA"/>
          <w14:ligatures w14:val="none"/>
        </w:rPr>
      </w:pPr>
      <w:r w:rsidRPr="00084D90">
        <w:rPr>
          <w:rFonts w:eastAsia="Times New Roman" w:cs="Times New Roman"/>
          <w:b/>
          <w:kern w:val="0"/>
          <w:sz w:val="22"/>
          <w:szCs w:val="24"/>
          <w:lang w:val="uk-UA"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DD3D373" w14:textId="77777777" w:rsidR="00084D90" w:rsidRPr="00084D90" w:rsidRDefault="00084D90" w:rsidP="00084D90">
      <w:pPr>
        <w:spacing w:after="0"/>
        <w:rPr>
          <w:rFonts w:eastAsia="Times New Roman" w:cs="Times New Roman"/>
          <w:b/>
          <w:kern w:val="0"/>
          <w:sz w:val="22"/>
          <w:szCs w:val="24"/>
          <w:lang w:val="uk-UA" w:eastAsia="uk-UA"/>
          <w14:ligatures w14:val="none"/>
        </w:rPr>
      </w:pPr>
    </w:p>
    <w:p w14:paraId="12638A6B"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Для забезпечення фiнансової стабiльностi в країнах з високим розвитком економiки набув поширення метод управлiння ризиками - хеджування. Хеджування є результатом функцiонування та розвитку ринку похiдних строкових контрактiв. Такий метод управлiння ризиками на товариствi вiдсутнiй .</w:t>
      </w:r>
    </w:p>
    <w:p w14:paraId="0FC1E1B9" w14:textId="77777777" w:rsidR="00084D90" w:rsidRPr="00084D90" w:rsidRDefault="00084D90" w:rsidP="00084D90">
      <w:pPr>
        <w:spacing w:after="0"/>
        <w:rPr>
          <w:rFonts w:eastAsia="Times New Roman" w:cs="Times New Roman"/>
          <w:b/>
          <w:kern w:val="0"/>
          <w:sz w:val="22"/>
          <w:szCs w:val="24"/>
          <w:lang w:val="uk-UA" w:eastAsia="uk-UA"/>
          <w14:ligatures w14:val="none"/>
        </w:rPr>
      </w:pPr>
    </w:p>
    <w:p w14:paraId="1BFD2830" w14:textId="77777777" w:rsidR="00084D90" w:rsidRPr="00084D90" w:rsidRDefault="00084D90" w:rsidP="00084D90">
      <w:pPr>
        <w:spacing w:after="0"/>
        <w:rPr>
          <w:rFonts w:eastAsia="Times New Roman" w:cs="Times New Roman"/>
          <w:b/>
          <w:kern w:val="0"/>
          <w:sz w:val="22"/>
          <w:lang w:val="uk-UA" w:eastAsia="uk-UA"/>
          <w14:ligatures w14:val="none"/>
        </w:rPr>
      </w:pPr>
      <w:r w:rsidRPr="00084D90">
        <w:rPr>
          <w:rFonts w:eastAsia="Times New Roman" w:cs="Times New Roman"/>
          <w:b/>
          <w:kern w:val="0"/>
          <w:sz w:val="22"/>
          <w:lang w:val="uk-UA" w:eastAsia="uk-UA"/>
          <w14:ligatures w14:val="none"/>
        </w:rPr>
        <w:lastRenderedPageBreak/>
        <w:t>Інформація про схильність особи до цінових ризиків, кредитного ризику, ризику ліквідності та/або ризику грошових потоків</w:t>
      </w:r>
    </w:p>
    <w:p w14:paraId="59FB72D5" w14:textId="77777777" w:rsidR="00084D90" w:rsidRPr="00084D90" w:rsidRDefault="00084D90" w:rsidP="00084D90">
      <w:pPr>
        <w:spacing w:after="0"/>
        <w:rPr>
          <w:rFonts w:eastAsia="Times New Roman" w:cs="Times New Roman"/>
          <w:b/>
          <w:kern w:val="0"/>
          <w:sz w:val="22"/>
          <w:lang w:val="uk-UA" w:eastAsia="uk-UA"/>
          <w14:ligatures w14:val="none"/>
        </w:rPr>
      </w:pPr>
    </w:p>
    <w:p w14:paraId="1E713477"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Для дiяльностi Товариства характерна низка фiнансових ризикiв:ринковий ризик (у тому числi валютний ризик та ризик вiдсоткових ставок), кредитний ризик та ризик лiквiдностi. Товариство переглядає та узгоджує свою  полiтику управлiння  ризиками для мiнiмiзацiї негативного впливу цих ризикiв на свої фiнансовi показники.</w:t>
      </w:r>
    </w:p>
    <w:p w14:paraId="77F67FF6"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Ринковий ризик - це ризик того, що майбутнi грошовi потоки  вiд фiнансового iнструмента коливатимуться внаслiдок змiн  ринкових цiн. Ринковий ризик включає в себе три типи ризику: вiдсотковий ризик, валютний ризик та iншi цiновi ризики. Фiнансовим iнструментом, якому притаманний ринковий ризик, є дебiторська заборгованiсть за роботи, товари, послуги. Товариство пiддається  валютному ризику, у зв'язку зi здiйсненням валютних операцiй. Товариство  має процентнi фiнансовi зобов'язання, тому пiддається ризику коливання процентних ставок.  Вiдсотковий та валютний ризик не є значущими для Товариства.</w:t>
      </w:r>
    </w:p>
    <w:p w14:paraId="4697EC30"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Кредитний ризик - це ризик, який являє собою ризик фiнансового збитку для Товариства  через невиконання  контрагентом  свого зобов'язання  перед Товариством за договором. . Управлiння кредитним ризиком здiйснюється вiдповiдно до полiтики та процедур, встановлених в Товариствi,в основному,  за допомогою аналiзу здатностi  контрагента  сплатити заборгованiсть. Товариство укладає угоди виключно з вiдомими та фiнансово стабiльними сторонами. Даний ризик виникає в основному у зв'язку з дебiторською заборгованiстю.</w:t>
      </w:r>
    </w:p>
    <w:p w14:paraId="4D4CD5F6" w14:textId="77777777" w:rsidR="00084D90" w:rsidRPr="00084D90" w:rsidRDefault="00084D90" w:rsidP="00084D90">
      <w:pPr>
        <w:spacing w:after="0"/>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Ризик лiквiдностi - це ризик того, що Товариство не зможе виконати свої i,фiнансовi зобов'язання шляхом грошових коштiв чи iншого фiнансового активу. Пiдхiд до управлiння лiквiднiстю передбачає забезпечення, наскiльки це можливо, постiйної наявностi лiквiдностi, достатньої для виконання зобов'язань Товариства по мiрi настання строкiв їх погашення як у звичайних умовах, так i у надзвичайних ситуацiях, уникаючи при цьому неприйнятних збиткiв i ризику нанесення шкоди репутацiї Товариству. Як правило, Товариство забезпечує наявнiсть грошових коштiв та їх еквiвалентiв, доступних на першу вимогу, обсязi, достатньому для покриття очiкуваних короткострокових операцiйних витрат.</w:t>
      </w:r>
    </w:p>
    <w:p w14:paraId="17B9271F" w14:textId="77777777" w:rsidR="00084D90" w:rsidRPr="00084D90" w:rsidRDefault="00084D90" w:rsidP="00084D90">
      <w:pPr>
        <w:spacing w:after="0"/>
        <w:rPr>
          <w:rFonts w:eastAsia="Times New Roman" w:cs="Times New Roman"/>
          <w:kern w:val="0"/>
          <w:sz w:val="20"/>
          <w:szCs w:val="20"/>
          <w:lang w:val="uk-UA" w:eastAsia="uk-UA"/>
          <w14:ligatures w14:val="none"/>
        </w:rPr>
      </w:pPr>
    </w:p>
    <w:p w14:paraId="1274956B" w14:textId="77777777" w:rsidR="00084D90" w:rsidRPr="00084D90" w:rsidRDefault="00084D90" w:rsidP="00084D90">
      <w:pPr>
        <w:keepNext/>
        <w:widowControl w:val="0"/>
        <w:tabs>
          <w:tab w:val="right" w:pos="7710"/>
        </w:tabs>
        <w:suppressAutoHyphens/>
        <w:autoSpaceDE w:val="0"/>
        <w:autoSpaceDN w:val="0"/>
        <w:adjustRightInd w:val="0"/>
        <w:spacing w:before="113" w:after="0" w:line="257" w:lineRule="auto"/>
        <w:ind w:firstLine="283"/>
        <w:jc w:val="right"/>
        <w:textAlignment w:val="center"/>
        <w:rPr>
          <w:rFonts w:eastAsia="Times New Roman" w:cs="Times New Roman"/>
          <w:i/>
          <w:iCs/>
          <w:color w:val="000000"/>
          <w:kern w:val="0"/>
          <w:sz w:val="24"/>
          <w:szCs w:val="24"/>
          <w:lang w:val="uk-UA" w:eastAsia="uk-UA"/>
          <w14:ligatures w14:val="none"/>
        </w:rPr>
      </w:pPr>
      <w:r w:rsidRPr="00084D90">
        <w:rPr>
          <w:rFonts w:eastAsia="Times New Roman" w:cs="Times New Roman"/>
          <w:i/>
          <w:iCs/>
          <w:color w:val="000000"/>
          <w:kern w:val="0"/>
          <w:sz w:val="24"/>
          <w:szCs w:val="24"/>
          <w:lang w:val="uk-UA" w:eastAsia="uk-UA"/>
          <w14:ligatures w14:val="none"/>
        </w:rPr>
        <w:t>Таблиця 4.</w:t>
      </w:r>
    </w:p>
    <w:p w14:paraId="1D94D482" w14:textId="77777777" w:rsidR="00084D90" w:rsidRPr="00084D90" w:rsidRDefault="00084D90" w:rsidP="00084D90">
      <w:pPr>
        <w:widowControl w:val="0"/>
        <w:tabs>
          <w:tab w:val="right" w:pos="7710"/>
          <w:tab w:val="right" w:pos="11514"/>
        </w:tabs>
        <w:suppressAutoHyphens/>
        <w:autoSpaceDE w:val="0"/>
        <w:autoSpaceDN w:val="0"/>
        <w:adjustRightInd w:val="0"/>
        <w:spacing w:before="113" w:after="0" w:line="257" w:lineRule="auto"/>
        <w:jc w:val="center"/>
        <w:textAlignment w:val="center"/>
        <w:rPr>
          <w:rFonts w:eastAsia="Times New Roman" w:cs="Times New Roman"/>
          <w:b/>
          <w:color w:val="000000"/>
          <w:kern w:val="0"/>
          <w:sz w:val="24"/>
          <w:szCs w:val="24"/>
          <w:lang w:val="uk-UA" w:eastAsia="uk-UA"/>
          <w14:ligatures w14:val="none"/>
        </w:rPr>
      </w:pPr>
      <w:r w:rsidRPr="00084D90">
        <w:rPr>
          <w:rFonts w:eastAsia="Times New Roman" w:cs="Times New Roman"/>
          <w:b/>
          <w:color w:val="000000"/>
          <w:kern w:val="0"/>
          <w:sz w:val="24"/>
          <w:szCs w:val="24"/>
          <w:lang w:val="uk-UA"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084D90" w:rsidRPr="00084D90" w14:paraId="4E311E7D"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A94043"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133DA9"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Рибас Михайло Сергійович</w:t>
            </w:r>
          </w:p>
        </w:tc>
      </w:tr>
      <w:tr w:rsidR="00084D90" w:rsidRPr="00084D90" w14:paraId="362DB3EA"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6B6DB0"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5BCF55"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3301100874</w:t>
            </w:r>
          </w:p>
        </w:tc>
      </w:tr>
      <w:tr w:rsidR="00084D90" w:rsidRPr="00084D90" w14:paraId="4D92C130"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5BEF27"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F26828"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r w:rsidR="00084D90" w:rsidRPr="00084D90" w14:paraId="1C793829"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0A359E"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B7A672"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Ключеві рішення, передбачені Статутом Товариства  у 2025 р не приймалися .</w:t>
            </w:r>
          </w:p>
        </w:tc>
      </w:tr>
      <w:tr w:rsidR="00084D90" w:rsidRPr="00084D90" w14:paraId="44B3E828"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6C4114"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098158"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заступник керівника відсутній</w:t>
            </w:r>
          </w:p>
        </w:tc>
      </w:tr>
      <w:tr w:rsidR="00084D90" w:rsidRPr="00084D90" w14:paraId="65FD194A"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DE228B"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E00A70"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r w:rsidR="00084D90" w:rsidRPr="00084D90" w14:paraId="11ED453E"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C02B56"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4B5AF6"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r w:rsidR="00084D90" w:rsidRPr="00084D90" w14:paraId="2D9A504F"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862600"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6CBCF7"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r w:rsidR="00084D90" w:rsidRPr="00084D90" w14:paraId="6F1E1448"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07B4DA"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B1D3FC"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r w:rsidR="00084D90" w:rsidRPr="00084D90" w14:paraId="6369C76E"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FCEEA9"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5CC7CC"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r w:rsidR="00084D90" w:rsidRPr="00084D90" w14:paraId="62099307" w14:textId="77777777" w:rsidTr="006E754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14BD7F" w14:textId="77777777" w:rsidR="00084D90" w:rsidRPr="00084D90" w:rsidRDefault="00084D90" w:rsidP="00084D90">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B6989C" w14:textId="77777777" w:rsidR="00084D90" w:rsidRPr="00084D90" w:rsidRDefault="00084D90" w:rsidP="00084D90">
            <w:pPr>
              <w:spacing w:after="0" w:line="259" w:lineRule="auto"/>
              <w:rPr>
                <w:rFonts w:eastAsia="Times New Roman" w:cs="Times New Roman"/>
                <w:kern w:val="0"/>
                <w:sz w:val="20"/>
                <w:szCs w:val="20"/>
                <w:lang w:val="en-US" w:eastAsia="uk-UA"/>
                <w14:ligatures w14:val="none"/>
              </w:rPr>
            </w:pPr>
            <w:r w:rsidRPr="00084D90">
              <w:rPr>
                <w:rFonts w:eastAsia="Times New Roman" w:cs="Times New Roman"/>
                <w:kern w:val="0"/>
                <w:sz w:val="20"/>
                <w:szCs w:val="20"/>
                <w:lang w:val="en-US" w:eastAsia="uk-UA"/>
                <w14:ligatures w14:val="none"/>
              </w:rPr>
              <w:t xml:space="preserve"> </w:t>
            </w:r>
          </w:p>
        </w:tc>
      </w:tr>
    </w:tbl>
    <w:p w14:paraId="245A6536" w14:textId="77777777" w:rsidR="00084D90" w:rsidRPr="00084D90" w:rsidRDefault="00084D90" w:rsidP="00084D90">
      <w:pPr>
        <w:spacing w:line="259" w:lineRule="auto"/>
        <w:rPr>
          <w:rFonts w:ascii="Calibri" w:eastAsia="Times New Roman" w:hAnsi="Calibri" w:cs="Times New Roman"/>
          <w:kern w:val="0"/>
          <w:sz w:val="22"/>
          <w:lang w:val="uk-UA" w:eastAsia="uk-UA"/>
          <w14:ligatures w14:val="none"/>
        </w:rPr>
      </w:pPr>
    </w:p>
    <w:p w14:paraId="08144E00" w14:textId="77777777" w:rsidR="00084D90" w:rsidRDefault="00084D90" w:rsidP="006C0B77">
      <w:pPr>
        <w:spacing w:after="0"/>
        <w:ind w:firstLine="709"/>
        <w:jc w:val="both"/>
        <w:sectPr w:rsidR="00084D90" w:rsidSect="00084D90">
          <w:pgSz w:w="11906" w:h="16838"/>
          <w:pgMar w:top="363" w:right="567" w:bottom="363" w:left="1417" w:header="709" w:footer="709" w:gutter="0"/>
          <w:cols w:space="708"/>
          <w:docGrid w:linePitch="381"/>
        </w:sectPr>
      </w:pPr>
    </w:p>
    <w:p w14:paraId="0E0108E1" w14:textId="77777777" w:rsidR="00084D90" w:rsidRPr="00084D90" w:rsidRDefault="00084D90" w:rsidP="00084D90">
      <w:pPr>
        <w:keepNext/>
        <w:keepLines/>
        <w:widowControl w:val="0"/>
        <w:tabs>
          <w:tab w:val="right" w:pos="7710"/>
        </w:tabs>
        <w:suppressAutoHyphens/>
        <w:autoSpaceDE w:val="0"/>
        <w:autoSpaceDN w:val="0"/>
        <w:adjustRightInd w:val="0"/>
        <w:spacing w:before="113" w:after="57" w:line="257" w:lineRule="auto"/>
        <w:textAlignment w:val="center"/>
        <w:rPr>
          <w:rFonts w:eastAsia="Times New Roman" w:cs="Times New Roman"/>
          <w:b/>
          <w:bCs/>
          <w:color w:val="000000"/>
          <w:kern w:val="0"/>
          <w:sz w:val="24"/>
          <w:szCs w:val="24"/>
          <w:lang w:val="uk-UA" w:eastAsia="uk-UA"/>
          <w14:ligatures w14:val="none"/>
        </w:rPr>
      </w:pPr>
      <w:r w:rsidRPr="00084D90">
        <w:rPr>
          <w:rFonts w:eastAsia="Times New Roman" w:cs="Times New Roman"/>
          <w:b/>
          <w:bCs/>
          <w:color w:val="000000"/>
          <w:kern w:val="0"/>
          <w:sz w:val="24"/>
          <w:szCs w:val="24"/>
          <w:lang w:val="uk-UA"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084D90" w:rsidRPr="00084D90" w14:paraId="2D5C13ED" w14:textId="77777777" w:rsidTr="006E754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BE6007"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0"/>
                <w:lang w:val="uk-UA" w:eastAsia="uk-UA"/>
                <w14:ligatures w14:val="none"/>
              </w:rPr>
            </w:pPr>
            <w:r w:rsidRPr="00084D90">
              <w:rPr>
                <w:rFonts w:eastAsia="Times New Roman" w:cs="Times New Roman"/>
                <w:b/>
                <w:color w:val="000000"/>
                <w:kern w:val="0"/>
                <w:sz w:val="20"/>
                <w:szCs w:val="20"/>
                <w:lang w:val="en-US" w:eastAsia="uk-UA"/>
                <w14:ligatures w14:val="none"/>
              </w:rPr>
              <w:t xml:space="preserve">        </w:t>
            </w:r>
            <w:r w:rsidRPr="00084D90">
              <w:rPr>
                <w:rFonts w:eastAsia="Times New Roman" w:cs="Times New Roman"/>
                <w:b/>
                <w:color w:val="000000"/>
                <w:kern w:val="0"/>
                <w:sz w:val="20"/>
                <w:szCs w:val="20"/>
                <w:lang w:val="uk-UA"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6C08A"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084D90">
              <w:rPr>
                <w:rFonts w:eastAsia="Times New Roman" w:cs="Times New Roman"/>
                <w:b/>
                <w:color w:val="000000"/>
                <w:kern w:val="0"/>
                <w:sz w:val="20"/>
                <w:szCs w:val="20"/>
                <w:lang w:val="uk-UA"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C5395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084D90">
              <w:rPr>
                <w:rFonts w:eastAsia="Times New Roman" w:cs="Times New Roman"/>
                <w:b/>
                <w:color w:val="000000"/>
                <w:kern w:val="0"/>
                <w:sz w:val="20"/>
                <w:szCs w:val="20"/>
                <w:lang w:val="uk-UA"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36665A"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084D90">
              <w:rPr>
                <w:rFonts w:eastAsia="Times New Roman" w:cs="Times New Roman"/>
                <w:b/>
                <w:color w:val="000000"/>
                <w:kern w:val="0"/>
                <w:sz w:val="20"/>
                <w:szCs w:val="20"/>
                <w:lang w:val="uk-UA"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13BB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084D90">
              <w:rPr>
                <w:rFonts w:eastAsia="Times New Roman" w:cs="Times New Roman"/>
                <w:b/>
                <w:color w:val="000000"/>
                <w:kern w:val="0"/>
                <w:sz w:val="20"/>
                <w:szCs w:val="20"/>
                <w:lang w:val="uk-UA" w:eastAsia="uk-UA"/>
                <w14:ligatures w14:val="none"/>
              </w:rPr>
              <w:t>Розмір пакета акцій, що знаходиться в прямому та (опосередкованому) володінні</w:t>
            </w:r>
          </w:p>
        </w:tc>
      </w:tr>
      <w:tr w:rsidR="00084D90" w:rsidRPr="00084D90" w14:paraId="38C16456" w14:textId="77777777" w:rsidTr="006E754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753307"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084D90">
              <w:rPr>
                <w:rFonts w:eastAsia="Times New Roman" w:cs="Times New Roman"/>
                <w:color w:val="000000"/>
                <w:kern w:val="0"/>
                <w:sz w:val="20"/>
                <w:szCs w:val="20"/>
                <w:lang w:val="en-US" w:eastAsia="uk-UA"/>
                <w14:ligatures w14:val="none"/>
              </w:rPr>
              <w:t>Рибас Михайло Сергійович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337BC4"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3301100874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200172"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433FA"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35.5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AAD530"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35.5</w:t>
            </w:r>
          </w:p>
        </w:tc>
      </w:tr>
      <w:tr w:rsidR="00084D90" w:rsidRPr="00084D90" w14:paraId="40480B03" w14:textId="77777777" w:rsidTr="006E754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32FF2C"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084D90">
              <w:rPr>
                <w:rFonts w:eastAsia="Times New Roman" w:cs="Times New Roman"/>
                <w:color w:val="000000"/>
                <w:kern w:val="0"/>
                <w:sz w:val="20"/>
                <w:szCs w:val="20"/>
                <w:lang w:val="en-US" w:eastAsia="uk-UA"/>
                <w14:ligatures w14:val="none"/>
              </w:rPr>
              <w:t>Шелудченко Олена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42336"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1937117209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79B92"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19530113-00580</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97F86B"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33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20C8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33</w:t>
            </w:r>
          </w:p>
        </w:tc>
      </w:tr>
      <w:tr w:rsidR="00084D90" w:rsidRPr="00084D90" w14:paraId="35AAAC09" w14:textId="77777777" w:rsidTr="006E754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DB35C1"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084D90">
              <w:rPr>
                <w:rFonts w:eastAsia="Times New Roman" w:cs="Times New Roman"/>
                <w:color w:val="000000"/>
                <w:kern w:val="0"/>
                <w:sz w:val="20"/>
                <w:szCs w:val="20"/>
                <w:lang w:val="en-US" w:eastAsia="uk-UA"/>
                <w14:ligatures w14:val="none"/>
              </w:rPr>
              <w:t>Гребе Олександр Костянтинович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9E16A"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1721407391</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39711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B4EB3B"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19.5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108C8"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19.5</w:t>
            </w:r>
          </w:p>
        </w:tc>
      </w:tr>
      <w:tr w:rsidR="00084D90" w:rsidRPr="00084D90" w14:paraId="70173CEB" w14:textId="77777777" w:rsidTr="006E754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6A4C4"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084D90">
              <w:rPr>
                <w:rFonts w:eastAsia="Times New Roman" w:cs="Times New Roman"/>
                <w:color w:val="000000"/>
                <w:kern w:val="0"/>
                <w:sz w:val="20"/>
                <w:szCs w:val="20"/>
                <w:lang w:val="en-US" w:eastAsia="uk-UA"/>
                <w14:ligatures w14:val="none"/>
              </w:rPr>
              <w:t>Григор'єва  Тетяна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3BE8B2"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2667609168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5AA0F2"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D4B2B"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97B2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084D90">
              <w:rPr>
                <w:rFonts w:eastAsia="Times New Roman" w:cs="Times New Roman"/>
                <w:color w:val="000000"/>
                <w:kern w:val="0"/>
                <w:sz w:val="20"/>
                <w:szCs w:val="20"/>
                <w:lang w:val="uk-UA" w:eastAsia="uk-UA"/>
                <w14:ligatures w14:val="none"/>
              </w:rPr>
              <w:t>12</w:t>
            </w:r>
          </w:p>
        </w:tc>
      </w:tr>
    </w:tbl>
    <w:p w14:paraId="4688FFD4" w14:textId="77777777" w:rsidR="00084D90" w:rsidRPr="00084D90" w:rsidRDefault="00084D90" w:rsidP="00084D90">
      <w:pPr>
        <w:spacing w:line="259" w:lineRule="auto"/>
        <w:rPr>
          <w:rFonts w:ascii="Calibri" w:eastAsia="Times New Roman" w:hAnsi="Calibri" w:cs="Times New Roman"/>
          <w:kern w:val="0"/>
          <w:sz w:val="22"/>
          <w:lang w:val="uk-UA" w:eastAsia="uk-UA"/>
          <w14:ligatures w14:val="none"/>
        </w:rPr>
      </w:pPr>
    </w:p>
    <w:p w14:paraId="32F2FAFB" w14:textId="77777777" w:rsidR="00084D90" w:rsidRPr="00084D90" w:rsidRDefault="00084D90" w:rsidP="00084D90">
      <w:pPr>
        <w:keepNext/>
        <w:keepLines/>
        <w:widowControl w:val="0"/>
        <w:tabs>
          <w:tab w:val="right" w:pos="7710"/>
        </w:tabs>
        <w:suppressAutoHyphens/>
        <w:autoSpaceDE w:val="0"/>
        <w:autoSpaceDN w:val="0"/>
        <w:adjustRightInd w:val="0"/>
        <w:spacing w:before="170" w:after="57" w:line="257" w:lineRule="auto"/>
        <w:textAlignment w:val="center"/>
        <w:rPr>
          <w:rFonts w:eastAsia="Times New Roman" w:cs="Times New Roman"/>
          <w:b/>
          <w:bCs/>
          <w:color w:val="000000"/>
          <w:kern w:val="0"/>
          <w:sz w:val="24"/>
          <w:szCs w:val="24"/>
          <w:lang w:val="uk-UA" w:eastAsia="uk-UA"/>
          <w14:ligatures w14:val="none"/>
        </w:rPr>
      </w:pPr>
      <w:r w:rsidRPr="00084D90">
        <w:rPr>
          <w:rFonts w:eastAsia="Times New Roman" w:cs="Times New Roman"/>
          <w:b/>
          <w:bCs/>
          <w:color w:val="000000"/>
          <w:kern w:val="0"/>
          <w:sz w:val="24"/>
          <w:szCs w:val="24"/>
          <w:lang w:val="uk-UA"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084D90" w:rsidRPr="00084D90" w14:paraId="4C51D427" w14:textId="77777777" w:rsidTr="006E7547">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33E89"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en-US" w:eastAsia="uk-UA"/>
                <w14:ligatures w14:val="none"/>
              </w:rPr>
              <w:t xml:space="preserve">                    </w:t>
            </w:r>
            <w:r w:rsidRPr="00084D90">
              <w:rPr>
                <w:rFonts w:eastAsia="Times New Roman" w:cs="Times New Roman"/>
                <w:b/>
                <w:color w:val="000000"/>
                <w:kern w:val="0"/>
                <w:sz w:val="20"/>
                <w:szCs w:val="24"/>
                <w:lang w:val="uk-UA"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2CEF5"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5A67E4"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07C54"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 xml:space="preserve">Назва посади, </w:t>
            </w:r>
            <w:r w:rsidRPr="00084D90">
              <w:rPr>
                <w:rFonts w:eastAsia="Times New Roman" w:cs="Times New Roman"/>
                <w:b/>
                <w:color w:val="000000"/>
                <w:kern w:val="0"/>
                <w:sz w:val="20"/>
                <w:szCs w:val="24"/>
                <w:lang w:val="uk-UA" w:eastAsia="uk-UA"/>
                <w14:ligatures w14:val="none"/>
              </w:rPr>
              <w:br/>
              <w:t xml:space="preserve">назва органу, </w:t>
            </w:r>
            <w:r w:rsidRPr="00084D90">
              <w:rPr>
                <w:rFonts w:eastAsia="Times New Roman" w:cs="Times New Roman"/>
                <w:b/>
                <w:color w:val="000000"/>
                <w:kern w:val="0"/>
                <w:sz w:val="20"/>
                <w:szCs w:val="24"/>
                <w:lang w:val="uk-UA"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BE8EEF"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E60B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084D90">
              <w:rPr>
                <w:rFonts w:eastAsia="Times New Roman" w:cs="Times New Roman"/>
                <w:b/>
                <w:color w:val="000000"/>
                <w:kern w:val="0"/>
                <w:sz w:val="20"/>
                <w:szCs w:val="24"/>
                <w:lang w:val="uk-UA" w:eastAsia="uk-UA"/>
                <w14:ligatures w14:val="none"/>
              </w:rPr>
              <w:t>Порядок призначення та звільнення посадової особи</w:t>
            </w:r>
          </w:p>
        </w:tc>
      </w:tr>
      <w:tr w:rsidR="00084D90" w:rsidRPr="00084D90" w14:paraId="76A1C7A0" w14:textId="77777777" w:rsidTr="006E7547">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44BD6C" w14:textId="77777777" w:rsidR="00084D90" w:rsidRPr="00084D90" w:rsidRDefault="00084D90" w:rsidP="00084D90">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084D90">
              <w:rPr>
                <w:rFonts w:eastAsia="Times New Roman" w:cs="Times New Roman"/>
                <w:color w:val="000000"/>
                <w:kern w:val="0"/>
                <w:sz w:val="20"/>
                <w:szCs w:val="24"/>
                <w:lang w:val="en-US" w:eastAsia="uk-UA"/>
                <w14:ligatures w14:val="none"/>
              </w:rPr>
              <w:t>Козінкова Ольга Миколаївна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23CF99"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2842208966</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FE1B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E23D95"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Головного бухгалтера призначено 02.08.2018 термiн повноважень необмежений</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167C1"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1. Безпосередньо підпорядковується керівнику підприємства.</w:t>
            </w:r>
          </w:p>
          <w:p w14:paraId="3ED61CC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2. У роботі керується законодавством у сфері бухгалтерського та податкового обліку, стратегією розвитку підприємства та цією посадовою інструкцією.</w:t>
            </w:r>
          </w:p>
          <w:p w14:paraId="371B951A"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3. Розпорядження головного бухгалтера є обов'язковими для виконання працівниками бухгалтерії підприємства.</w:t>
            </w:r>
          </w:p>
          <w:p w14:paraId="3833DBDD"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 xml:space="preserve">4.Організовує роботу бухгалтерії підприємства, забезпечує виконання завдань, покладених на бухгалтерію відповідно до Положення про бухгалтерію, </w:t>
            </w:r>
            <w:r w:rsidRPr="00084D90">
              <w:rPr>
                <w:rFonts w:eastAsia="Times New Roman" w:cs="Times New Roman"/>
                <w:color w:val="000000"/>
                <w:kern w:val="0"/>
                <w:sz w:val="20"/>
                <w:szCs w:val="24"/>
                <w:lang w:val="uk-UA" w:eastAsia="uk-UA"/>
                <w14:ligatures w14:val="none"/>
              </w:rPr>
              <w:lastRenderedPageBreak/>
              <w:t>затвердженого наказом керівника підприємства</w:t>
            </w:r>
          </w:p>
          <w:p w14:paraId="388689D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Контролює:</w:t>
            </w:r>
          </w:p>
          <w:p w14:paraId="1C6223A5"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відображення господарських операцій на рахунках бухгалтерського обліку;</w:t>
            </w:r>
          </w:p>
          <w:p w14:paraId="7BFE290F"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дотримання працівниками бухгалтерії та інших підрозділів підприємства порядку оформлення та обліку первинних документів, вимог законодавства щодо списання (передачі) рухомого та нерухомого майна;</w:t>
            </w:r>
          </w:p>
          <w:p w14:paraId="607A2686"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належне оформлення матеріалів щодо нестач грошових коштів та майна, псування активів;</w:t>
            </w:r>
          </w:p>
          <w:p w14:paraId="4924C91B"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належне проведення розрахунків при оплаті товарів, робіт та послуг, відповідність перерахованих коштів обсягам виконаних робіт, придбаних товарів чи наданих послуг згідно з умовами укладених договорів;</w:t>
            </w:r>
          </w:p>
          <w:p w14:paraId="2343F64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стан погашення та списання дебіторської заборгованості відповідно до законодавства.</w:t>
            </w:r>
          </w:p>
          <w:p w14:paraId="014B3FEF"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на основі даних бухгалтерського обліку забезпечує складання фінансової звітності підприємства та подання її визначеним користувачам у встановлені строки.</w:t>
            </w:r>
          </w:p>
          <w:p w14:paraId="3EE0744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 xml:space="preserve">складає баланс підприємства, зокрема основні засоби та інші позаоборотні активи, запаси і затрати, грошові кошти, розрахунки та інші активи, власний капітал, розрахунки, </w:t>
            </w:r>
            <w:r w:rsidRPr="00084D90">
              <w:rPr>
                <w:rFonts w:eastAsia="Times New Roman" w:cs="Times New Roman"/>
                <w:color w:val="000000"/>
                <w:kern w:val="0"/>
                <w:sz w:val="20"/>
                <w:szCs w:val="24"/>
                <w:lang w:val="uk-UA" w:eastAsia="uk-UA"/>
                <w14:ligatures w14:val="none"/>
              </w:rPr>
              <w:lastRenderedPageBreak/>
              <w:t>доходи, витрати.</w:t>
            </w:r>
          </w:p>
          <w:p w14:paraId="43D91046"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забезпечує взаємодію з банківськими установами з питань розміщення фінансових коштів підприємства.</w:t>
            </w:r>
          </w:p>
          <w:p w14:paraId="79521BE0"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5. За погодженням із керівником підприємства розраховується з кредиторами відповідно до договірних зобов'язань.</w:t>
            </w:r>
          </w:p>
          <w:p w14:paraId="5E046765"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6. Підписує документи, які є підставою для:</w:t>
            </w:r>
          </w:p>
          <w:p w14:paraId="69FF73D1"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перерахування податків і зборів (обов'язкових платежів);</w:t>
            </w:r>
          </w:p>
          <w:p w14:paraId="080B08DF"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приймання і видавання грошових коштів;</w:t>
            </w:r>
          </w:p>
          <w:p w14:paraId="2A6014BA"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оприбуткування та списання рухомого і нерухомого майна;</w:t>
            </w:r>
          </w:p>
          <w:p w14:paraId="4307E28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проведення інших господарських операцій.</w:t>
            </w:r>
          </w:p>
          <w:p w14:paraId="2089853F"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контролює підготовку та подання звітів, які передбачають підпис головного бухгалтера, відповідно до нормативних актів, затверджених форм та інструкцій.</w:t>
            </w:r>
          </w:p>
          <w:p w14:paraId="56C98A91"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погоджує документи, пов'язані з витрачанням фонду заробітної плати, встановленням посадових окладів, надбавок, доплат, виплат премій працівникам.</w:t>
            </w:r>
          </w:p>
          <w:p w14:paraId="0CD5BDDC"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погоджує проекти договорів (контрактів) з контрагентами.</w:t>
            </w:r>
          </w:p>
          <w:p w14:paraId="7EE16AF3"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погоджує проекти договорів про повну матеріальну відповідальність, що укладають з працівниками підприємства.</w:t>
            </w:r>
          </w:p>
          <w:p w14:paraId="28D0D7CD"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 xml:space="preserve">у межах повноважень вживає заходів щодо відшкодування винними особами збитків від </w:t>
            </w:r>
            <w:r w:rsidRPr="00084D90">
              <w:rPr>
                <w:rFonts w:eastAsia="Times New Roman" w:cs="Times New Roman"/>
                <w:color w:val="000000"/>
                <w:kern w:val="0"/>
                <w:sz w:val="20"/>
                <w:szCs w:val="24"/>
                <w:lang w:val="uk-UA" w:eastAsia="uk-UA"/>
                <w14:ligatures w14:val="none"/>
              </w:rPr>
              <w:lastRenderedPageBreak/>
              <w:t>нестач, розтрат чи крадіжок.</w:t>
            </w:r>
          </w:p>
          <w:p w14:paraId="6EF3A01F"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забезпечує поточне зберігання бухгалтерських документів у діловодстві бухгалтерії, після спливу термінів поточного зберігання організує передання бухгалтерських документів до архівного підрозділу підприємства у порядку, встановленому нормативно-правовими актами у сфері діловодства та архівної справи.</w:t>
            </w:r>
          </w:p>
          <w:p w14:paraId="1352BE80"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Бере участь в інвентаризаціях.</w:t>
            </w:r>
          </w:p>
          <w:p w14:paraId="6862E414"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адаптації щодо потреб підприємства;</w:t>
            </w:r>
          </w:p>
          <w:p w14:paraId="34D4BA38"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забезпечення збереження майна, раціонального та ефективного використання матеріальних, трудових та фінансових ресурсів, залучення кредитів та їх погашення;</w:t>
            </w:r>
          </w:p>
          <w:p w14:paraId="5FF8BFD9"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забезпечує реалізацію організаційних і технічних заходів щодо захисту персональних даних у складових баз персональних даних підприємства, які фактично розміщені у бухгалтерії (інформаційні довідники програми 1С, картотеки, інші паперові та електронні носії, що містять персональні дані фізичних осіб).</w:t>
            </w:r>
          </w:p>
          <w:p w14:paraId="64E4C8F0"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t>"</w:t>
            </w:r>
            <w:r w:rsidRPr="00084D90">
              <w:rPr>
                <w:rFonts w:eastAsia="Times New Roman" w:cs="Times New Roman"/>
                <w:color w:val="000000"/>
                <w:kern w:val="0"/>
                <w:sz w:val="20"/>
                <w:szCs w:val="24"/>
                <w:lang w:val="uk-UA" w:eastAsia="uk-UA"/>
                <w14:ligatures w14:val="none"/>
              </w:rPr>
              <w:tab/>
              <w:t xml:space="preserve">контролює дотримання працівниками бухгалтерії законодавства у сфері захисту персональних даних, зокрема щодо нерозголошення персональних даних фізичних </w:t>
            </w:r>
            <w:r w:rsidRPr="00084D90">
              <w:rPr>
                <w:rFonts w:eastAsia="Times New Roman" w:cs="Times New Roman"/>
                <w:color w:val="000000"/>
                <w:kern w:val="0"/>
                <w:sz w:val="20"/>
                <w:szCs w:val="24"/>
                <w:lang w:val="uk-UA" w:eastAsia="uk-UA"/>
                <w14:ligatures w14:val="none"/>
              </w:rPr>
              <w:lastRenderedPageBreak/>
              <w:t>осіб, що стали відомі під час виконання посадових обов'язків, повідомлення контрагентів - фізичних осіб про мету обробки персональних даних, права у сфері захисту персональних даних, осіб, яким передаються дані</w:t>
            </w:r>
          </w:p>
          <w:p w14:paraId="37FD889D"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6EB851" w14:textId="77777777" w:rsidR="00084D90" w:rsidRPr="00084D90" w:rsidRDefault="00084D90" w:rsidP="00084D90">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084D90">
              <w:rPr>
                <w:rFonts w:eastAsia="Times New Roman" w:cs="Times New Roman"/>
                <w:color w:val="000000"/>
                <w:kern w:val="0"/>
                <w:sz w:val="20"/>
                <w:szCs w:val="24"/>
                <w:lang w:val="uk-UA" w:eastAsia="uk-UA"/>
                <w14:ligatures w14:val="none"/>
              </w:rPr>
              <w:lastRenderedPageBreak/>
              <w:t>Призначається на посаду і звільняється з неї наказом керівника підприємства з дотриманням вимог законодавства про працю.</w:t>
            </w:r>
          </w:p>
        </w:tc>
      </w:tr>
    </w:tbl>
    <w:p w14:paraId="37743AEA" w14:textId="77777777" w:rsidR="00084D90" w:rsidRPr="00084D90" w:rsidRDefault="00084D90" w:rsidP="00084D9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val="uk-UA" w:eastAsia="uk-UA"/>
          <w14:ligatures w14:val="none"/>
        </w:rPr>
      </w:pPr>
    </w:p>
    <w:p w14:paraId="510C54D3" w14:textId="77777777" w:rsidR="00F12C76" w:rsidRDefault="00F12C76" w:rsidP="006C0B77">
      <w:pPr>
        <w:spacing w:after="0"/>
        <w:ind w:firstLine="709"/>
        <w:jc w:val="both"/>
      </w:pPr>
    </w:p>
    <w:sectPr w:rsidR="00F12C76" w:rsidSect="00084D90">
      <w:pgSz w:w="16838" w:h="11906" w:orient="landscape"/>
      <w:pgMar w:top="1417" w:right="363" w:bottom="850" w:left="363"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90"/>
    <w:rsid w:val="00084D90"/>
    <w:rsid w:val="00454AE9"/>
    <w:rsid w:val="006552F9"/>
    <w:rsid w:val="006C0B77"/>
    <w:rsid w:val="008242FF"/>
    <w:rsid w:val="00870751"/>
    <w:rsid w:val="00922C48"/>
    <w:rsid w:val="0096318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9636"/>
  <w15:chartTrackingRefBased/>
  <w15:docId w15:val="{88074DED-12F1-423F-81AA-5E6062FA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84D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4D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4D9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4D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4D9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4D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4D9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4D9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4D9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D9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84D9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84D9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84D9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84D9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84D9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4D9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4D9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4D90"/>
    <w:rPr>
      <w:rFonts w:eastAsiaTheme="majorEastAsia" w:cstheme="majorBidi"/>
      <w:color w:val="272727" w:themeColor="text1" w:themeTint="D8"/>
      <w:sz w:val="28"/>
    </w:rPr>
  </w:style>
  <w:style w:type="paragraph" w:styleId="a3">
    <w:name w:val="Title"/>
    <w:basedOn w:val="a"/>
    <w:next w:val="a"/>
    <w:link w:val="a4"/>
    <w:uiPriority w:val="10"/>
    <w:qFormat/>
    <w:rsid w:val="00084D9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4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D9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4D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4D90"/>
    <w:pPr>
      <w:spacing w:before="160"/>
      <w:jc w:val="center"/>
    </w:pPr>
    <w:rPr>
      <w:i/>
      <w:iCs/>
      <w:color w:val="404040" w:themeColor="text1" w:themeTint="BF"/>
    </w:rPr>
  </w:style>
  <w:style w:type="character" w:customStyle="1" w:styleId="22">
    <w:name w:val="Цитата 2 Знак"/>
    <w:basedOn w:val="a0"/>
    <w:link w:val="21"/>
    <w:uiPriority w:val="29"/>
    <w:rsid w:val="00084D90"/>
    <w:rPr>
      <w:rFonts w:ascii="Times New Roman" w:hAnsi="Times New Roman"/>
      <w:i/>
      <w:iCs/>
      <w:color w:val="404040" w:themeColor="text1" w:themeTint="BF"/>
      <w:sz w:val="28"/>
    </w:rPr>
  </w:style>
  <w:style w:type="paragraph" w:styleId="a7">
    <w:name w:val="List Paragraph"/>
    <w:basedOn w:val="a"/>
    <w:uiPriority w:val="34"/>
    <w:qFormat/>
    <w:rsid w:val="00084D90"/>
    <w:pPr>
      <w:ind w:left="720"/>
      <w:contextualSpacing/>
    </w:pPr>
  </w:style>
  <w:style w:type="character" w:styleId="a8">
    <w:name w:val="Intense Emphasis"/>
    <w:basedOn w:val="a0"/>
    <w:uiPriority w:val="21"/>
    <w:qFormat/>
    <w:rsid w:val="00084D90"/>
    <w:rPr>
      <w:i/>
      <w:iCs/>
      <w:color w:val="2E74B5" w:themeColor="accent1" w:themeShade="BF"/>
    </w:rPr>
  </w:style>
  <w:style w:type="paragraph" w:styleId="a9">
    <w:name w:val="Intense Quote"/>
    <w:basedOn w:val="a"/>
    <w:next w:val="a"/>
    <w:link w:val="aa"/>
    <w:uiPriority w:val="30"/>
    <w:qFormat/>
    <w:rsid w:val="00084D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84D90"/>
    <w:rPr>
      <w:rFonts w:ascii="Times New Roman" w:hAnsi="Times New Roman"/>
      <w:i/>
      <w:iCs/>
      <w:color w:val="2E74B5" w:themeColor="accent1" w:themeShade="BF"/>
      <w:sz w:val="28"/>
    </w:rPr>
  </w:style>
  <w:style w:type="character" w:styleId="ab">
    <w:name w:val="Intense Reference"/>
    <w:basedOn w:val="a0"/>
    <w:uiPriority w:val="32"/>
    <w:qFormat/>
    <w:rsid w:val="00084D9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2645</Words>
  <Characters>15077</Characters>
  <Application>Microsoft Office Word</Application>
  <DocSecurity>0</DocSecurity>
  <Lines>125</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Plytnyk</dc:creator>
  <cp:keywords/>
  <dc:description/>
  <cp:lastModifiedBy>Svitlana Plytnyk</cp:lastModifiedBy>
  <cp:revision>2</cp:revision>
  <dcterms:created xsi:type="dcterms:W3CDTF">2026-04-27T11:58:00Z</dcterms:created>
  <dcterms:modified xsi:type="dcterms:W3CDTF">2026-04-27T11:58:00Z</dcterms:modified>
</cp:coreProperties>
</file>